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2C7728" w14:textId="4B6DDD3E" w:rsidR="00D6391C" w:rsidRPr="00735472" w:rsidRDefault="00206FF7" w:rsidP="00735472">
      <w:pPr>
        <w:contextualSpacing/>
        <w:jc w:val="center"/>
        <w:rPr>
          <w:b/>
          <w:bCs/>
          <w:sz w:val="32"/>
          <w:szCs w:val="32"/>
          <w:u w:val="single"/>
        </w:rPr>
      </w:pPr>
      <w:r w:rsidRPr="00735472">
        <w:rPr>
          <w:b/>
          <w:bCs/>
          <w:sz w:val="32"/>
          <w:szCs w:val="32"/>
          <w:u w:val="single"/>
        </w:rPr>
        <w:t xml:space="preserve">Preceptor Guide: Zoll ECG simulator session </w:t>
      </w:r>
    </w:p>
    <w:p w14:paraId="4FED86CF" w14:textId="77777777" w:rsidR="00735472" w:rsidRPr="00735472" w:rsidRDefault="00735472" w:rsidP="00735472">
      <w:pPr>
        <w:contextualSpacing/>
        <w:rPr>
          <w:b/>
          <w:bCs/>
        </w:rPr>
      </w:pPr>
    </w:p>
    <w:p w14:paraId="2446A371" w14:textId="13C6702B" w:rsidR="00206FF7" w:rsidRPr="0030390F" w:rsidRDefault="00735472" w:rsidP="00735472">
      <w:pPr>
        <w:contextualSpacing/>
        <w:jc w:val="center"/>
        <w:rPr>
          <w:i/>
          <w:iCs/>
          <w:sz w:val="20"/>
          <w:szCs w:val="20"/>
        </w:rPr>
      </w:pPr>
      <w:r w:rsidRPr="0030390F">
        <w:rPr>
          <w:b/>
          <w:bCs/>
          <w:i/>
          <w:iCs/>
          <w:sz w:val="20"/>
          <w:szCs w:val="20"/>
        </w:rPr>
        <w:t>Contributor</w:t>
      </w:r>
      <w:r w:rsidR="0030390F" w:rsidRPr="0030390F">
        <w:rPr>
          <w:b/>
          <w:bCs/>
          <w:i/>
          <w:iCs/>
          <w:sz w:val="20"/>
          <w:szCs w:val="20"/>
        </w:rPr>
        <w:t>(</w:t>
      </w:r>
      <w:r w:rsidRPr="0030390F">
        <w:rPr>
          <w:b/>
          <w:bCs/>
          <w:i/>
          <w:iCs/>
          <w:sz w:val="20"/>
          <w:szCs w:val="20"/>
        </w:rPr>
        <w:t>s</w:t>
      </w:r>
      <w:r w:rsidR="0030390F" w:rsidRPr="0030390F">
        <w:rPr>
          <w:b/>
          <w:bCs/>
          <w:i/>
          <w:iCs/>
          <w:sz w:val="20"/>
          <w:szCs w:val="20"/>
        </w:rPr>
        <w:t>)</w:t>
      </w:r>
      <w:r w:rsidRPr="0030390F">
        <w:rPr>
          <w:b/>
          <w:bCs/>
          <w:i/>
          <w:iCs/>
          <w:sz w:val="20"/>
          <w:szCs w:val="20"/>
        </w:rPr>
        <w:t>:</w:t>
      </w:r>
      <w:r w:rsidR="00206FF7" w:rsidRPr="0030390F">
        <w:rPr>
          <w:i/>
          <w:iCs/>
          <w:sz w:val="20"/>
          <w:szCs w:val="20"/>
        </w:rPr>
        <w:t xml:space="preserve"> </w:t>
      </w:r>
      <w:r w:rsidRPr="0030390F">
        <w:rPr>
          <w:i/>
          <w:iCs/>
          <w:sz w:val="20"/>
          <w:szCs w:val="20"/>
        </w:rPr>
        <w:t xml:space="preserve">E </w:t>
      </w:r>
      <w:proofErr w:type="spellStart"/>
      <w:r w:rsidRPr="0030390F">
        <w:rPr>
          <w:i/>
          <w:iCs/>
          <w:sz w:val="20"/>
          <w:szCs w:val="20"/>
        </w:rPr>
        <w:t>Krauspe</w:t>
      </w:r>
      <w:proofErr w:type="spellEnd"/>
      <w:r w:rsidRPr="0030390F">
        <w:rPr>
          <w:i/>
          <w:iCs/>
          <w:sz w:val="20"/>
          <w:szCs w:val="20"/>
        </w:rPr>
        <w:t xml:space="preserve">, B Locke, R Sheth, C Long, J </w:t>
      </w:r>
      <w:proofErr w:type="spellStart"/>
      <w:r w:rsidRPr="0030390F">
        <w:rPr>
          <w:i/>
          <w:iCs/>
          <w:sz w:val="20"/>
          <w:szCs w:val="20"/>
        </w:rPr>
        <w:t>Situmeang</w:t>
      </w:r>
      <w:proofErr w:type="spellEnd"/>
      <w:r w:rsidRPr="0030390F">
        <w:rPr>
          <w:i/>
          <w:iCs/>
          <w:sz w:val="20"/>
          <w:szCs w:val="20"/>
        </w:rPr>
        <w:t>, A Ryden, S Patel</w:t>
      </w:r>
    </w:p>
    <w:p w14:paraId="3DB0EAC2" w14:textId="6BE2BDCA" w:rsidR="00735472" w:rsidRPr="0030390F" w:rsidRDefault="00735472" w:rsidP="00735472">
      <w:pPr>
        <w:contextualSpacing/>
        <w:jc w:val="center"/>
        <w:rPr>
          <w:i/>
          <w:iCs/>
          <w:sz w:val="20"/>
          <w:szCs w:val="20"/>
        </w:rPr>
      </w:pPr>
      <w:r>
        <w:t>Last Update: 2026-05-13</w:t>
      </w:r>
    </w:p>
    <w:p w14:paraId="3B4606A6" w14:textId="77777777" w:rsidR="00735472" w:rsidRPr="00735472" w:rsidRDefault="00735472" w:rsidP="00735472">
      <w:pPr>
        <w:contextualSpacing/>
      </w:pPr>
    </w:p>
    <w:p w14:paraId="10755ACC" w14:textId="1E431710" w:rsidR="00206FF7" w:rsidRPr="00735472" w:rsidRDefault="00735472" w:rsidP="00735472">
      <w:pPr>
        <w:contextualSpacing/>
      </w:pPr>
      <w:r>
        <w:rPr>
          <w:b/>
          <w:bCs/>
        </w:rPr>
        <w:t xml:space="preserve">Simulation </w:t>
      </w:r>
      <w:r w:rsidR="00206FF7" w:rsidRPr="00735472">
        <w:rPr>
          <w:b/>
          <w:bCs/>
        </w:rPr>
        <w:t>Resources</w:t>
      </w:r>
      <w:r w:rsidR="00206FF7" w:rsidRPr="00735472">
        <w:t xml:space="preserve">: </w:t>
      </w:r>
    </w:p>
    <w:p w14:paraId="595AF586" w14:textId="7C9B3C13" w:rsidR="00735472" w:rsidRDefault="00735472" w:rsidP="00735472">
      <w:pPr>
        <w:pStyle w:val="ListParagraph"/>
        <w:numPr>
          <w:ilvl w:val="0"/>
          <w:numId w:val="1"/>
        </w:numPr>
      </w:pPr>
      <w:r>
        <w:t>Companion Power Point Slide Deck (</w:t>
      </w:r>
      <w:r w:rsidR="0030390F">
        <w:t>resident</w:t>
      </w:r>
      <w:r>
        <w:t xml:space="preserve"> facing)</w:t>
      </w:r>
    </w:p>
    <w:p w14:paraId="45172B93" w14:textId="77777777" w:rsidR="00735472" w:rsidRDefault="00735472" w:rsidP="00735472">
      <w:pPr>
        <w:pStyle w:val="ListParagraph"/>
      </w:pPr>
    </w:p>
    <w:p w14:paraId="548F9832" w14:textId="02A043F0" w:rsidR="00206FF7" w:rsidRPr="00735472" w:rsidRDefault="00206FF7" w:rsidP="00735472">
      <w:pPr>
        <w:pStyle w:val="ListParagraph"/>
        <w:numPr>
          <w:ilvl w:val="0"/>
          <w:numId w:val="1"/>
        </w:numPr>
      </w:pPr>
      <w:r w:rsidRPr="00735472">
        <w:t>Zoll ECG Simulator (can plug in directly to Zoll R Series monitor/defibrillator)</w:t>
      </w:r>
    </w:p>
    <w:p w14:paraId="016C941C" w14:textId="6B9FED89" w:rsidR="00206FF7" w:rsidRPr="00735472" w:rsidRDefault="00206FF7" w:rsidP="00735472">
      <w:pPr>
        <w:pStyle w:val="ListParagraph"/>
        <w:numPr>
          <w:ilvl w:val="1"/>
          <w:numId w:val="1"/>
        </w:numPr>
      </w:pPr>
      <w:r w:rsidRPr="00735472">
        <w:t xml:space="preserve">Options: VT, VT-HI, VT-LO, VF, AFIB, AFLTR, NSR, ASYS, </w:t>
      </w:r>
      <w:proofErr w:type="spellStart"/>
      <w:r w:rsidRPr="00735472">
        <w:t>SBrady</w:t>
      </w:r>
      <w:proofErr w:type="spellEnd"/>
      <w:r w:rsidRPr="00735472">
        <w:t>, 1</w:t>
      </w:r>
      <w:r w:rsidRPr="00735472">
        <w:rPr>
          <w:vertAlign w:val="superscript"/>
        </w:rPr>
        <w:t>st</w:t>
      </w:r>
      <w:r w:rsidRPr="00735472">
        <w:t xml:space="preserve"> AVB, 2</w:t>
      </w:r>
      <w:r w:rsidRPr="00735472">
        <w:rPr>
          <w:vertAlign w:val="superscript"/>
        </w:rPr>
        <w:t>nd</w:t>
      </w:r>
      <w:r w:rsidRPr="00735472">
        <w:t xml:space="preserve"> I AVB, 2</w:t>
      </w:r>
      <w:r w:rsidRPr="00735472">
        <w:rPr>
          <w:vertAlign w:val="superscript"/>
        </w:rPr>
        <w:t>nd</w:t>
      </w:r>
      <w:r w:rsidRPr="00735472">
        <w:t xml:space="preserve"> II AVB, 3</w:t>
      </w:r>
      <w:r w:rsidRPr="00735472">
        <w:rPr>
          <w:vertAlign w:val="superscript"/>
        </w:rPr>
        <w:t>rd</w:t>
      </w:r>
      <w:r w:rsidRPr="00735472">
        <w:t xml:space="preserve"> AVB, </w:t>
      </w:r>
      <w:proofErr w:type="spellStart"/>
      <w:r w:rsidRPr="00735472">
        <w:t>TdP</w:t>
      </w:r>
      <w:proofErr w:type="spellEnd"/>
      <w:r w:rsidRPr="00735472">
        <w:t xml:space="preserve">, Convert.  </w:t>
      </w:r>
    </w:p>
    <w:p w14:paraId="40F8C83E" w14:textId="5A538CC3" w:rsidR="00206FF7" w:rsidRPr="00735472" w:rsidRDefault="00735472" w:rsidP="00735472">
      <w:pPr>
        <w:contextualSpacing/>
      </w:pPr>
      <w:r w:rsidRPr="00735472">
        <w:rPr>
          <w:b/>
          <w:bCs/>
          <w:noProof/>
          <w:u w:val="single"/>
        </w:rPr>
        <w:drawing>
          <wp:anchor distT="0" distB="0" distL="114300" distR="114300" simplePos="0" relativeHeight="251658240" behindDoc="1" locked="0" layoutInCell="1" allowOverlap="1" wp14:anchorId="579A7164" wp14:editId="48DE4420">
            <wp:simplePos x="0" y="0"/>
            <wp:positionH relativeFrom="column">
              <wp:posOffset>4283710</wp:posOffset>
            </wp:positionH>
            <wp:positionV relativeFrom="paragraph">
              <wp:posOffset>162348</wp:posOffset>
            </wp:positionV>
            <wp:extent cx="1788795" cy="2893060"/>
            <wp:effectExtent l="0" t="0" r="1905" b="2540"/>
            <wp:wrapTight wrapText="bothSides">
              <wp:wrapPolygon edited="0">
                <wp:start x="0" y="0"/>
                <wp:lineTo x="0" y="21524"/>
                <wp:lineTo x="21470" y="21524"/>
                <wp:lineTo x="21470" y="0"/>
                <wp:lineTo x="0" y="0"/>
              </wp:wrapPolygon>
            </wp:wrapTight>
            <wp:docPr id="1168279742" name="Picture 1" descr="A white box with blue button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8279742" name="Picture 1" descr="A white box with blue buttons&#10;&#10;AI-generated content may be incorrect.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879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443FEB" w14:textId="4E2337D7" w:rsidR="00206FF7" w:rsidRPr="00735472" w:rsidRDefault="00206FF7" w:rsidP="00735472">
      <w:pPr>
        <w:pStyle w:val="ListParagraph"/>
        <w:numPr>
          <w:ilvl w:val="0"/>
          <w:numId w:val="1"/>
        </w:numPr>
      </w:pPr>
      <w:r w:rsidRPr="00735472">
        <w:t xml:space="preserve">Zoll R Series Monitor/defibrillator </w:t>
      </w:r>
    </w:p>
    <w:p w14:paraId="0CCB8B21" w14:textId="7B5DD8D0" w:rsidR="00206FF7" w:rsidRPr="00735472" w:rsidRDefault="00206FF7" w:rsidP="00735472">
      <w:pPr>
        <w:ind w:left="360"/>
        <w:contextualSpacing/>
      </w:pPr>
      <w:r w:rsidRPr="00735472">
        <w:rPr>
          <w:noProof/>
        </w:rPr>
        <w:drawing>
          <wp:inline distT="0" distB="0" distL="0" distR="0" wp14:anchorId="440CD2AA" wp14:editId="2142431E">
            <wp:extent cx="3296356" cy="2518402"/>
            <wp:effectExtent l="0" t="0" r="0" b="0"/>
            <wp:docPr id="1653247476" name="Picture 1" descr="A close-up of a medical devic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247476" name="Picture 1" descr="A close-up of a medical device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69775" cy="2574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45F7F" w14:textId="77777777" w:rsidR="00735472" w:rsidRDefault="00735472" w:rsidP="00735472">
      <w:pPr>
        <w:ind w:left="360"/>
        <w:contextualSpacing/>
        <w:rPr>
          <w:b/>
          <w:bCs/>
        </w:rPr>
      </w:pPr>
    </w:p>
    <w:p w14:paraId="185499CC" w14:textId="13E8083D" w:rsidR="00206FF7" w:rsidRPr="00735472" w:rsidRDefault="00206FF7" w:rsidP="00735472">
      <w:pPr>
        <w:ind w:left="360"/>
        <w:contextualSpacing/>
      </w:pPr>
      <w:r w:rsidRPr="00735472">
        <w:rPr>
          <w:b/>
          <w:bCs/>
        </w:rPr>
        <w:t>Audience</w:t>
      </w:r>
      <w:r w:rsidRPr="00735472">
        <w:t xml:space="preserve">: </w:t>
      </w:r>
      <w:r w:rsidR="00735472">
        <w:t xml:space="preserve">IM </w:t>
      </w:r>
      <w:r w:rsidRPr="00735472">
        <w:t>Interns</w:t>
      </w:r>
    </w:p>
    <w:p w14:paraId="5D870D3E" w14:textId="77777777" w:rsidR="00735472" w:rsidRPr="00735472" w:rsidRDefault="00735472" w:rsidP="00735472">
      <w:pPr>
        <w:ind w:left="360"/>
        <w:contextualSpacing/>
      </w:pPr>
    </w:p>
    <w:p w14:paraId="51978885" w14:textId="0EAB9CD2" w:rsidR="00206FF7" w:rsidRPr="00735472" w:rsidRDefault="00206FF7" w:rsidP="00735472">
      <w:pPr>
        <w:ind w:left="360"/>
        <w:contextualSpacing/>
      </w:pPr>
      <w:r w:rsidRPr="00735472">
        <w:rPr>
          <w:b/>
          <w:bCs/>
        </w:rPr>
        <w:t>Duration</w:t>
      </w:r>
      <w:r w:rsidRPr="00735472">
        <w:t xml:space="preserve">: 20-30 minutes hands on scenarios </w:t>
      </w:r>
    </w:p>
    <w:p>
      <w:r>
        <w:rPr>
          <w:b/>
        </w:rPr>
        <w:t>Case List:</w:t>
      </w:r>
    </w:p>
    <w:p>
      <w:r>
        <w:rPr>
          <w:b w:val="0"/>
        </w:rPr>
        <w:t>Case 1: Metabolic derangements / ESRD - asystole versus fine VF</w:t>
      </w:r>
    </w:p>
    <w:p>
      <w:r>
        <w:rPr>
          <w:b w:val="0"/>
        </w:rPr>
        <w:t>Case 2: VF/VT arrest with post-ROSC ECG and stabilization</w:t>
      </w:r>
    </w:p>
    <w:p>
      <w:r>
        <w:rPr>
          <w:b w:val="0"/>
        </w:rPr>
        <w:t>Case 3: Polymorphic VT/TdP after QT-prolonging medications</w:t>
      </w:r>
    </w:p>
    <w:p>
      <w:r>
        <w:rPr>
          <w:b w:val="0"/>
        </w:rPr>
        <w:t>Case 4: Tachycardia during RRT with adenosine guardrails</w:t>
      </w:r>
    </w:p>
    <w:p>
      <w:r>
        <w:rPr>
          <w:b w:val="0"/>
        </w:rPr>
        <w:t>Case 5: Complete heart block / unstable bradycardia</w:t>
      </w:r>
    </w:p>
    <w:p/>
    <w:p>
      <w:pPr>
        <w:pStyle w:val="Heading1"/>
      </w:pPr>
      <w:r>
        <w:t>Case 1: Metabolic derangements / ESRD - asystole versus fine VF</w:t>
      </w:r>
    </w:p>
    <w:p>
      <w:r>
        <w:rPr>
          <w:b/>
        </w:rPr>
        <w:t>Scenario:</w:t>
      </w:r>
    </w:p>
    <w:p>
      <w:pPr>
        <w:pStyle w:val="ListParagraph"/>
      </w:pPr>
      <w:r>
        <w:t>70M with ESRD found unresponsive on the floor. No pulse. CPR in progress; IV access obtained.</w:t>
      </w:r>
    </w:p>
    <w:p>
      <w:pPr>
        <w:pStyle w:val="ListParagraph"/>
      </w:pPr>
      <w:r>
        <w:t>Labs available: pH 6.98, HCO3 12, pCO2 55; K 7.2, iCa 0.98; lactate 9.2, hs-TnI 11k, glucose 98.</w:t>
      </w:r>
    </w:p>
    <w:p>
      <w:pPr>
        <w:pStyle w:val="ListParagraph"/>
      </w:pPr>
      <w:r>
        <w:t>Initial rhythm problem: asystole versus fine VF.</w:t>
      </w:r>
    </w:p>
    <w:p>
      <w:r>
        <w:rPr>
          <w:b/>
        </w:rPr>
        <w:t>Facilitator prompts:</w:t>
      </w:r>
    </w:p>
    <w:p>
      <w:pPr>
        <w:pStyle w:val="ListParagraph"/>
      </w:pPr>
      <w:r>
        <w:t>Confirm asystole in more than one lead and check for fine VF before treating as non-shockable.</w:t>
      </w:r>
    </w:p>
    <w:p>
      <w:pPr>
        <w:pStyle w:val="ListParagraph"/>
      </w:pPr>
      <w:r>
        <w:t>Ask the nurse recorder: "First rhythm? CPR start time? Next pulse check?"</w:t>
      </w:r>
    </w:p>
    <w:p>
      <w:pPr>
        <w:pStyle w:val="ListParagraph"/>
      </w:pPr>
      <w:r>
        <w:t>Assign timekeeper, compressor switch, defib, and meds/pharmacy roles.</w:t>
      </w:r>
    </w:p>
    <w:p>
      <w:r>
        <w:rPr>
          <w:b/>
        </w:rPr>
        <w:t>Teaching points:</w:t>
      </w:r>
    </w:p>
    <w:p>
      <w:pPr>
        <w:pStyle w:val="ListParagraph"/>
      </w:pPr>
      <w:r>
        <w:t>Do not shock true asystole; if uncertain about fine VF, make the less-bad error and involve another rhythm voice.</w:t>
      </w:r>
    </w:p>
    <w:p>
      <w:pPr>
        <w:pStyle w:val="ListParagraph"/>
      </w:pPr>
      <w:r>
        <w:t>Calcium, bicarbonate, and insulin-glucose are cause-directed treatments for suspected hyperkalemia. They are not routine arrest medications.</w:t>
      </w:r>
    </w:p>
    <w:p>
      <w:pPr>
        <w:pStyle w:val="ListParagraph"/>
      </w:pPr>
      <w:r>
        <w:t>Use the arrest Hs and Ts, ETCO2, and labs to guide cause-directed treatment without delaying CPR/rhythm checks.</w:t>
      </w:r>
    </w:p>
    <w:p>
      <w:pPr>
        <w:pStyle w:val="Heading1"/>
      </w:pPr>
      <w:r>
        <w:t>Case 2: VF/VT arrest with post-ROSC ECG and stabilization</w:t>
      </w:r>
    </w:p>
    <w:p>
      <w:r>
        <w:rPr>
          <w:b/>
        </w:rPr>
        <w:t>Scenario:</w:t>
      </w:r>
    </w:p>
    <w:p>
      <w:pPr>
        <w:pStyle w:val="ListParagraph"/>
      </w:pPr>
      <w:r>
        <w:t>58F with CAD, remote DES/CABG, HLD, T2DM, and active smoking admitted for UTI with sepsis.</w:t>
      </w:r>
    </w:p>
    <w:p>
      <w:pPr>
        <w:pStyle w:val="ListParagraph"/>
      </w:pPr>
      <w:r>
        <w:t>Telemetry alarms code blue on hospital day 2. On assessment, pulses are absent.</w:t>
      </w:r>
    </w:p>
    <w:p>
      <w:pPr>
        <w:pStyle w:val="ListParagraph"/>
      </w:pPr>
      <w:r>
        <w:t>Labs available: pH 7.18, HCO3 16, pCO2 48; lactate 6.5, K 4.9, iCa 1.10; glucose 152, hs-TnI 121.</w:t>
      </w:r>
    </w:p>
    <w:p>
      <w:r>
        <w:rPr>
          <w:b/>
        </w:rPr>
        <w:t>Facilitator prompts:</w:t>
      </w:r>
    </w:p>
    <w:p>
      <w:pPr>
        <w:pStyle w:val="ListParagraph"/>
      </w:pPr>
      <w:r>
        <w:t>Prioritize immediate CPR, charging, first shock, and immediate CPR resumption.</w:t>
      </w:r>
    </w:p>
    <w:p>
      <w:pPr>
        <w:pStyle w:val="ListParagraph"/>
      </w:pPr>
      <w:r>
        <w:t>Ask the nurse who called the code: "What rhythm triggered the alarm, when did compressions start, and has the first shock happened?"</w:t>
      </w:r>
    </w:p>
    <w:p>
      <w:pPr>
        <w:pStyle w:val="ListParagraph"/>
      </w:pPr>
      <w:r>
        <w:t>After ROSC, close the loop on post-ROSC ECG and stabilization tasks.</w:t>
      </w:r>
    </w:p>
    <w:p>
      <w:r>
        <w:rPr>
          <w:b/>
        </w:rPr>
        <w:t>Post-ROSC checklist:</w:t>
      </w:r>
    </w:p>
    <w:p>
      <w:pPr>
        <w:pStyle w:val="ListParagraph"/>
      </w:pPr>
      <w:r>
        <w:t>12-lead ECG as soon as feasible.</w:t>
      </w:r>
    </w:p>
    <w:p>
      <w:pPr>
        <w:pStyle w:val="ListParagraph"/>
      </w:pPr>
      <w:r>
        <w:t>Oxygen 100% until reliable SpO2/PaO2; then target SpO2 90-98%.</w:t>
      </w:r>
    </w:p>
    <w:p>
      <w:pPr>
        <w:pStyle w:val="ListParagraph"/>
      </w:pPr>
      <w:r>
        <w:t>PaCO2 35-45 if comatose and ventilated; avoid hypotension with minimum MAP &gt;=65.</w:t>
      </w:r>
    </w:p>
    <w:p>
      <w:pPr>
        <w:pStyle w:val="ListParagraph"/>
      </w:pPr>
      <w:r>
        <w:t>If unresponsive, use protocolized temperature control for at least 36 hours.</w:t>
      </w:r>
    </w:p>
    <w:p>
      <w:pPr>
        <w:pStyle w:val="ListParagraph"/>
      </w:pPr>
      <w:r>
        <w:t>Search for cause: coronary, PE, tamponade, hemorrhage, pneumothorax, toxic/metabolic.</w:t>
      </w:r>
    </w:p>
    <w:p>
      <w:r>
        <w:rPr>
          <w:b/>
        </w:rPr>
        <w:t>Teaching points:</w:t>
      </w:r>
    </w:p>
    <w:p>
      <w:pPr>
        <w:pStyle w:val="ListParagraph"/>
      </w:pPr>
      <w:r>
        <w:t>Time to first shock is critical in VF; antiarrhythmics are adjuncts, not the primary treatment.</w:t>
      </w:r>
    </w:p>
    <w:p>
      <w:pPr>
        <w:pStyle w:val="ListParagraph"/>
      </w:pPr>
      <w:r>
        <w:t>Persisting VF/pVT: follow device energy strategy; if unsure, maximum biphasic energy is reasonable. Protect compression fraction and confirm pads/contact. Do not teach routine DSED/vector-change as standard care.</w:t>
      </w:r>
    </w:p>
    <w:p>
      <w:pPr>
        <w:pStyle w:val="ListParagraph"/>
      </w:pPr>
      <w:r>
        <w:t>For VF/VT, consider acute MI, electrolyte derangements, hypoxia, and drug toxicity.</w:t>
      </w:r>
    </w:p>
    <w:p>
      <w:pPr>
        <w:pStyle w:val="Heading1"/>
      </w:pPr>
      <w:r>
        <w:t>Case 3: Polymorphic VT/TdP after QT-prolonging medications</w:t>
      </w:r>
    </w:p>
    <w:p>
      <w:r>
        <w:rPr>
          <w:b/>
        </w:rPr>
        <w:t>Scenario:</w:t>
      </w:r>
    </w:p>
    <w:p>
      <w:pPr>
        <w:pStyle w:val="ListParagraph"/>
      </w:pPr>
      <w:r>
        <w:t>24F receiving antipsychotics and anti-emetics collapses on telemetry and is pulseless.</w:t>
      </w:r>
    </w:p>
    <w:p>
      <w:pPr>
        <w:pStyle w:val="ListParagraph"/>
      </w:pPr>
      <w:r>
        <w:t>Monitor shows sustained polymorphic VT consistent with TdP when QT is prolonged.</w:t>
      </w:r>
    </w:p>
    <w:p>
      <w:r>
        <w:rPr>
          <w:b/>
        </w:rPr>
        <w:t>Facilitator prompts:</w:t>
      </w:r>
    </w:p>
    <w:p>
      <w:pPr>
        <w:pStyle w:val="ListParagraph"/>
      </w:pPr>
      <w:r>
        <w:t>Have the resident say the rhythm plan out loud before medication discussion.</w:t>
      </w:r>
    </w:p>
    <w:p>
      <w:pPr>
        <w:pStyle w:val="ListParagraph"/>
      </w:pPr>
      <w:r>
        <w:t>Ask nursing/pharmacy: "What QT-prolonging medications has she received, and when was the last dose?"</w:t>
      </w:r>
    </w:p>
    <w:p>
      <w:pPr>
        <w:pStyle w:val="ListParagraph"/>
      </w:pPr>
      <w:r>
        <w:t>After stabilization, stop QT-prolonging medications and address bradycardia/QT drivers.</w:t>
      </w:r>
    </w:p>
    <w:p>
      <w:r>
        <w:rPr>
          <w:b/>
        </w:rPr>
        <w:t>Teaching points:</w:t>
      </w:r>
    </w:p>
    <w:p>
      <w:pPr>
        <w:pStyle w:val="ListParagraph"/>
      </w:pPr>
      <w:r>
        <w:t>Sustained polymorphic VT is unstable: shock immediately with unsynchronized high-energy defibrillation because synchronization may fail.</w:t>
      </w:r>
    </w:p>
    <w:p>
      <w:pPr>
        <w:pStyle w:val="ListParagraph"/>
      </w:pPr>
      <w:r>
        <w:t>If recurrent TdP with long QT, give magnesium, address bradycardia/QT drivers, and ask for expert help for overdrive pacing or isoproterenol.</w:t>
      </w:r>
    </w:p>
    <w:p>
      <w:pPr>
        <w:pStyle w:val="ListParagraph"/>
      </w:pPr>
      <w:r>
        <w:t>Magnesium is for recurrent polymorphic VT with long QT/TdP; it is not routine for polymorphic VT with normal QT.</w:t>
      </w:r>
    </w:p>
    <w:p>
      <w:pPr>
        <w:pStyle w:val="ListParagraph"/>
      </w:pPr>
      <w:r>
        <w:t>QT prolongation is more dangerous with slow heart rates.</w:t>
      </w:r>
    </w:p>
    <w:p>
      <w:pPr>
        <w:pStyle w:val="Heading1"/>
      </w:pPr>
      <w:r>
        <w:t>Case 4: Tachycardia during RRT with adenosine guardrails</w:t>
      </w:r>
    </w:p>
    <w:p>
      <w:r>
        <w:rPr>
          <w:b/>
        </w:rPr>
        <w:t>Scenario:</w:t>
      </w:r>
    </w:p>
    <w:p>
      <w:pPr>
        <w:pStyle w:val="ListParagraph"/>
      </w:pPr>
      <w:r>
        <w:t>36F admitted for alcohol withdrawal. RRT activated on hospital day 3 for HR 180s, dizziness/lightheadedness, and palpable pulses.</w:t>
      </w:r>
    </w:p>
    <w:p>
      <w:pPr>
        <w:pStyle w:val="ListParagraph"/>
      </w:pPr>
      <w:r>
        <w:t>Outreach nursing has arrived and has already tried vagal maneuvers.</w:t>
      </w:r>
    </w:p>
    <w:p>
      <w:r>
        <w:rPr>
          <w:b/>
        </w:rPr>
        <w:t>Facilitator prompts:</w:t>
      </w:r>
    </w:p>
    <w:p>
      <w:pPr>
        <w:pStyle w:val="ListParagraph"/>
      </w:pPr>
      <w:r>
        <w:t>Start with the outreach nurse: "Can I get the 30-second story: what changed, what have you tried, and what are you worried about?"</w:t>
      </w:r>
    </w:p>
    <w:p>
      <w:pPr>
        <w:pStyle w:val="ListParagraph"/>
      </w:pPr>
      <w:r>
        <w:t>Have the resident state whether this is stable, unstable, or peri-arrest before choosing a medication.</w:t>
      </w:r>
    </w:p>
    <w:p>
      <w:pPr>
        <w:pStyle w:val="ListParagraph"/>
      </w:pPr>
      <w:r>
        <w:t>If adenosine is used in the stable setting, reassess for the underlying rhythm it may uncover.</w:t>
      </w:r>
    </w:p>
    <w:p>
      <w:r>
        <w:rPr>
          <w:b/>
        </w:rPr>
        <w:t>Teaching points:</w:t>
      </w:r>
    </w:p>
    <w:p>
      <w:pPr>
        <w:pStyle w:val="ListParagraph"/>
      </w:pPr>
      <w:r>
        <w:t>Adenosine is for stable, regular, monomorphic tachycardia when SVT or regular monomorphic WCT is possible.</w:t>
      </w:r>
    </w:p>
    <w:p>
      <w:pPr>
        <w:pStyle w:val="ListParagraph"/>
      </w:pPr>
      <w:r>
        <w:t>Do not give adenosine for unstable, irregular, or polymorphic wide-complex tachycardia.</w:t>
      </w:r>
    </w:p>
    <w:p>
      <w:pPr>
        <w:pStyle w:val="ListParagraph"/>
      </w:pPr>
      <w:r>
        <w:t>If the rhythm is narrow and fast, decide whether it is causing instability or reflecting another problem.</w:t>
      </w:r>
    </w:p>
    <w:p>
      <w:pPr>
        <w:pStyle w:val="Heading1"/>
      </w:pPr>
      <w:r>
        <w:t>Case 5: Complete heart block / unstable bradycardia</w:t>
      </w:r>
    </w:p>
    <w:p>
      <w:r>
        <w:rPr>
          <w:b/>
        </w:rPr>
        <w:t>Scenario:</w:t>
      </w:r>
    </w:p>
    <w:p>
      <w:pPr>
        <w:pStyle w:val="ListParagraph"/>
      </w:pPr>
      <w:r>
        <w:t>82F with bradycardia, confusion, and SBP in the 80s. RRT activated for bradycardia.</w:t>
      </w:r>
    </w:p>
    <w:p>
      <w:pPr>
        <w:pStyle w:val="ListParagraph"/>
      </w:pPr>
      <w:r>
        <w:t>ECG shows complete heart block with AV dissociation and HR in the 30s.</w:t>
      </w:r>
    </w:p>
    <w:p>
      <w:r>
        <w:rPr>
          <w:b/>
        </w:rPr>
        <w:t>Facilitator prompts:</w:t>
      </w:r>
    </w:p>
    <w:p>
      <w:pPr>
        <w:pStyle w:val="ListParagraph"/>
      </w:pPr>
      <w:r>
        <w:t>Ask the bedside nurse: "Are pads on? Who can help with sedation? Who is calling cardiology/ICU?"</w:t>
      </w:r>
    </w:p>
    <w:p>
      <w:pPr>
        <w:pStyle w:val="ListParagraph"/>
      </w:pPr>
      <w:r>
        <w:t>Organize pacing, sedation, pressors, and expert help before the patient loses pulses.</w:t>
      </w:r>
    </w:p>
    <w:p>
      <w:r>
        <w:rPr>
          <w:b/>
        </w:rPr>
        <w:t>Teaching points:</w:t>
      </w:r>
    </w:p>
    <w:p>
      <w:pPr>
        <w:pStyle w:val="ListParagraph"/>
      </w:pPr>
      <w:r>
        <w:t>Complete heart block is AV dissociation.</w:t>
      </w:r>
    </w:p>
    <w:p>
      <w:pPr>
        <w:pStyle w:val="ListParagraph"/>
      </w:pPr>
      <w:r>
        <w:t>Atropine is reasonable in unstable bradycardia, but do not wait on it when high-grade or infranodal block is likely.</w:t>
      </w:r>
    </w:p>
    <w:p>
      <w:pPr>
        <w:pStyle w:val="ListParagraph"/>
      </w:pPr>
      <w:r>
        <w:t>Prepare pacing/pressors and transvenous pacing early; transcutaneous pacing will require sedation.</w:t>
      </w:r>
    </w:p>
    <w:p>
      <w:pPr>
        <w:pStyle w:val="ListParagraph"/>
      </w:pPr>
      <w:r>
        <w:t>Always have pacing pads in place during rapid responses for unstable bradycardia.</w:t>
      </w:r>
    </w:p>
    <w:sectPr w:rsidR="00735472" w:rsidRPr="00206FF7" w:rsidSect="00206FF7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pple Color Emoji">
    <w:panose1 w:val="00000000000000000000"/>
    <w:charset w:val="00"/>
    <w:family w:val="auto"/>
    <w:pitch w:val="variable"/>
    <w:sig w:usb0="00000003" w:usb1="18000000" w:usb2="14000000" w:usb3="00000000" w:csb0="00000001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A7828"/>
    <w:multiLevelType w:val="multilevel"/>
    <w:tmpl w:val="E20EE4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4FD1912"/>
    <w:multiLevelType w:val="hybridMultilevel"/>
    <w:tmpl w:val="F7B6C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7018F2"/>
    <w:multiLevelType w:val="multilevel"/>
    <w:tmpl w:val="08E21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2"/>
      <w:numFmt w:val="bullet"/>
      <w:lvlText w:val="-"/>
      <w:lvlJc w:val="left"/>
      <w:pPr>
        <w:ind w:left="2160" w:hanging="360"/>
      </w:pPr>
      <w:rPr>
        <w:rFonts w:ascii="Aptos" w:eastAsia="Times New Roman" w:hAnsi="Aptos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D715AC4"/>
    <w:multiLevelType w:val="hybridMultilevel"/>
    <w:tmpl w:val="B7B64E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DF6050"/>
    <w:multiLevelType w:val="multilevel"/>
    <w:tmpl w:val="08E21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2"/>
      <w:numFmt w:val="bullet"/>
      <w:lvlText w:val="-"/>
      <w:lvlJc w:val="left"/>
      <w:pPr>
        <w:ind w:left="2160" w:hanging="360"/>
      </w:pPr>
      <w:rPr>
        <w:rFonts w:ascii="Aptos" w:eastAsia="Times New Roman" w:hAnsi="Aptos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E94731E"/>
    <w:multiLevelType w:val="hybridMultilevel"/>
    <w:tmpl w:val="3DE6F60C"/>
    <w:lvl w:ilvl="0" w:tplc="0918617C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E630C1"/>
    <w:multiLevelType w:val="multilevel"/>
    <w:tmpl w:val="52A01B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1995CBE"/>
    <w:multiLevelType w:val="multilevel"/>
    <w:tmpl w:val="56FC6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73B5A7E"/>
    <w:multiLevelType w:val="hybridMultilevel"/>
    <w:tmpl w:val="C6E26666"/>
    <w:lvl w:ilvl="0" w:tplc="04090001">
      <w:start w:val="1"/>
      <w:numFmt w:val="bullet"/>
      <w:lvlText w:val=""/>
      <w:lvlJc w:val="left"/>
      <w:pPr>
        <w:ind w:left="77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9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1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3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5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7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9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1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33" w:hanging="360"/>
      </w:pPr>
      <w:rPr>
        <w:rFonts w:ascii="Wingdings" w:hAnsi="Wingdings" w:hint="default"/>
      </w:rPr>
    </w:lvl>
  </w:abstractNum>
  <w:abstractNum w:abstractNumId="9" w15:restartNumberingAfterBreak="0">
    <w:nsid w:val="1754334E"/>
    <w:multiLevelType w:val="multilevel"/>
    <w:tmpl w:val="F5402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18424449"/>
    <w:multiLevelType w:val="hybridMultilevel"/>
    <w:tmpl w:val="D80E4208"/>
    <w:lvl w:ilvl="0" w:tplc="E0302E76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92C5058"/>
    <w:multiLevelType w:val="hybridMultilevel"/>
    <w:tmpl w:val="26CE26C2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1ADA4346"/>
    <w:multiLevelType w:val="hybridMultilevel"/>
    <w:tmpl w:val="53461F90"/>
    <w:lvl w:ilvl="0" w:tplc="78CC9D50">
      <w:start w:val="1"/>
      <w:numFmt w:val="decimal"/>
      <w:lvlText w:val="(%1)"/>
      <w:lvlJc w:val="left"/>
      <w:pPr>
        <w:ind w:left="720" w:hanging="360"/>
      </w:pPr>
      <w:rPr>
        <w:rFonts w:ascii="Cambria" w:hAnsi="Cambria" w:cs="Apple Color Emoji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E5437E"/>
    <w:multiLevelType w:val="multilevel"/>
    <w:tmpl w:val="11703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F6E4B43"/>
    <w:multiLevelType w:val="multilevel"/>
    <w:tmpl w:val="3148F0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0516309"/>
    <w:multiLevelType w:val="multilevel"/>
    <w:tmpl w:val="2228D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5746597"/>
    <w:multiLevelType w:val="multilevel"/>
    <w:tmpl w:val="08E21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2"/>
      <w:numFmt w:val="bullet"/>
      <w:lvlText w:val="-"/>
      <w:lvlJc w:val="left"/>
      <w:pPr>
        <w:ind w:left="2160" w:hanging="360"/>
      </w:pPr>
      <w:rPr>
        <w:rFonts w:ascii="Aptos" w:eastAsia="Times New Roman" w:hAnsi="Aptos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7DB12E9"/>
    <w:multiLevelType w:val="multilevel"/>
    <w:tmpl w:val="4C68A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9BB7DFE"/>
    <w:multiLevelType w:val="multilevel"/>
    <w:tmpl w:val="AB6830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214228"/>
    <w:multiLevelType w:val="hybridMultilevel"/>
    <w:tmpl w:val="45DA25E6"/>
    <w:lvl w:ilvl="0" w:tplc="18B8B84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C693750"/>
    <w:multiLevelType w:val="hybridMultilevel"/>
    <w:tmpl w:val="23DC16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1B7B5D"/>
    <w:multiLevelType w:val="multilevel"/>
    <w:tmpl w:val="00760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03207A4"/>
    <w:multiLevelType w:val="multilevel"/>
    <w:tmpl w:val="BE381A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0741FC"/>
    <w:multiLevelType w:val="multilevel"/>
    <w:tmpl w:val="28243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7C01E39"/>
    <w:multiLevelType w:val="multilevel"/>
    <w:tmpl w:val="5E986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9224979"/>
    <w:multiLevelType w:val="hybridMultilevel"/>
    <w:tmpl w:val="B41C37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D58536E"/>
    <w:multiLevelType w:val="multilevel"/>
    <w:tmpl w:val="E54C2D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D5F4C29"/>
    <w:multiLevelType w:val="multilevel"/>
    <w:tmpl w:val="08E21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2"/>
      <w:numFmt w:val="bullet"/>
      <w:lvlText w:val="-"/>
      <w:lvlJc w:val="left"/>
      <w:pPr>
        <w:ind w:left="2160" w:hanging="360"/>
      </w:pPr>
      <w:rPr>
        <w:rFonts w:ascii="Aptos" w:eastAsia="Times New Roman" w:hAnsi="Aptos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EB33E2E"/>
    <w:multiLevelType w:val="multilevel"/>
    <w:tmpl w:val="715C66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4305828"/>
    <w:multiLevelType w:val="multilevel"/>
    <w:tmpl w:val="08E21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2"/>
      <w:numFmt w:val="bullet"/>
      <w:lvlText w:val="-"/>
      <w:lvlJc w:val="left"/>
      <w:pPr>
        <w:ind w:left="2160" w:hanging="360"/>
      </w:pPr>
      <w:rPr>
        <w:rFonts w:ascii="Aptos" w:eastAsia="Times New Roman" w:hAnsi="Aptos" w:cs="Times New Roman" w:hint="default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68D73C1D"/>
    <w:multiLevelType w:val="multilevel"/>
    <w:tmpl w:val="D30853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BE032B9"/>
    <w:multiLevelType w:val="multilevel"/>
    <w:tmpl w:val="53044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E76793E"/>
    <w:multiLevelType w:val="multilevel"/>
    <w:tmpl w:val="25101F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56861E4"/>
    <w:multiLevelType w:val="multilevel"/>
    <w:tmpl w:val="1EAC36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59936EE"/>
    <w:multiLevelType w:val="multilevel"/>
    <w:tmpl w:val="2A58F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B8B6033"/>
    <w:multiLevelType w:val="multilevel"/>
    <w:tmpl w:val="BB02F0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C7F6B51"/>
    <w:multiLevelType w:val="multilevel"/>
    <w:tmpl w:val="BE9E6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E231B5"/>
    <w:multiLevelType w:val="multilevel"/>
    <w:tmpl w:val="44FCF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7D9B79BB"/>
    <w:multiLevelType w:val="multilevel"/>
    <w:tmpl w:val="A7469C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DC5405D"/>
    <w:multiLevelType w:val="multilevel"/>
    <w:tmpl w:val="F398B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10527130">
    <w:abstractNumId w:val="19"/>
  </w:num>
  <w:num w:numId="2" w16cid:durableId="1930380588">
    <w:abstractNumId w:val="10"/>
  </w:num>
  <w:num w:numId="3" w16cid:durableId="39404781">
    <w:abstractNumId w:val="1"/>
  </w:num>
  <w:num w:numId="4" w16cid:durableId="1934126076">
    <w:abstractNumId w:val="20"/>
  </w:num>
  <w:num w:numId="5" w16cid:durableId="832330832">
    <w:abstractNumId w:val="15"/>
  </w:num>
  <w:num w:numId="6" w16cid:durableId="1496266189">
    <w:abstractNumId w:val="26"/>
  </w:num>
  <w:num w:numId="7" w16cid:durableId="1283419440">
    <w:abstractNumId w:val="11"/>
  </w:num>
  <w:num w:numId="8" w16cid:durableId="1864900899">
    <w:abstractNumId w:val="5"/>
  </w:num>
  <w:num w:numId="9" w16cid:durableId="564950805">
    <w:abstractNumId w:val="12"/>
  </w:num>
  <w:num w:numId="10" w16cid:durableId="1250694409">
    <w:abstractNumId w:val="35"/>
  </w:num>
  <w:num w:numId="11" w16cid:durableId="565146184">
    <w:abstractNumId w:val="3"/>
  </w:num>
  <w:num w:numId="12" w16cid:durableId="1853950838">
    <w:abstractNumId w:val="21"/>
  </w:num>
  <w:num w:numId="13" w16cid:durableId="1504055207">
    <w:abstractNumId w:val="27"/>
  </w:num>
  <w:num w:numId="14" w16cid:durableId="859779693">
    <w:abstractNumId w:val="17"/>
  </w:num>
  <w:num w:numId="15" w16cid:durableId="614017679">
    <w:abstractNumId w:val="33"/>
  </w:num>
  <w:num w:numId="16" w16cid:durableId="502548172">
    <w:abstractNumId w:val="32"/>
  </w:num>
  <w:num w:numId="17" w16cid:durableId="2075735118">
    <w:abstractNumId w:val="36"/>
  </w:num>
  <w:num w:numId="18" w16cid:durableId="1191340491">
    <w:abstractNumId w:val="24"/>
  </w:num>
  <w:num w:numId="19" w16cid:durableId="1097361141">
    <w:abstractNumId w:val="6"/>
  </w:num>
  <w:num w:numId="20" w16cid:durableId="22025823">
    <w:abstractNumId w:val="13"/>
  </w:num>
  <w:num w:numId="21" w16cid:durableId="823162403">
    <w:abstractNumId w:val="34"/>
  </w:num>
  <w:num w:numId="22" w16cid:durableId="376126311">
    <w:abstractNumId w:val="22"/>
  </w:num>
  <w:num w:numId="23" w16cid:durableId="72703976">
    <w:abstractNumId w:val="14"/>
  </w:num>
  <w:num w:numId="24" w16cid:durableId="2000883918">
    <w:abstractNumId w:val="39"/>
  </w:num>
  <w:num w:numId="25" w16cid:durableId="164050305">
    <w:abstractNumId w:val="30"/>
  </w:num>
  <w:num w:numId="26" w16cid:durableId="1193609986">
    <w:abstractNumId w:val="28"/>
  </w:num>
  <w:num w:numId="27" w16cid:durableId="1860729223">
    <w:abstractNumId w:val="18"/>
  </w:num>
  <w:num w:numId="28" w16cid:durableId="875581578">
    <w:abstractNumId w:val="23"/>
  </w:num>
  <w:num w:numId="29" w16cid:durableId="715354543">
    <w:abstractNumId w:val="2"/>
  </w:num>
  <w:num w:numId="30" w16cid:durableId="1785222036">
    <w:abstractNumId w:val="4"/>
  </w:num>
  <w:num w:numId="31" w16cid:durableId="2025397428">
    <w:abstractNumId w:val="37"/>
  </w:num>
  <w:num w:numId="32" w16cid:durableId="584268599">
    <w:abstractNumId w:val="0"/>
  </w:num>
  <w:num w:numId="33" w16cid:durableId="687367630">
    <w:abstractNumId w:val="29"/>
  </w:num>
  <w:num w:numId="34" w16cid:durableId="686979888">
    <w:abstractNumId w:val="16"/>
  </w:num>
  <w:num w:numId="35" w16cid:durableId="1521427660">
    <w:abstractNumId w:val="25"/>
  </w:num>
  <w:num w:numId="36" w16cid:durableId="6837006">
    <w:abstractNumId w:val="8"/>
  </w:num>
  <w:num w:numId="37" w16cid:durableId="1383404431">
    <w:abstractNumId w:val="31"/>
  </w:num>
  <w:num w:numId="38" w16cid:durableId="519243068">
    <w:abstractNumId w:val="9"/>
  </w:num>
  <w:num w:numId="39" w16cid:durableId="759566048">
    <w:abstractNumId w:val="38"/>
  </w:num>
  <w:num w:numId="40" w16cid:durableId="79016978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6FF7"/>
    <w:rsid w:val="000F4670"/>
    <w:rsid w:val="000F59DA"/>
    <w:rsid w:val="001A5C23"/>
    <w:rsid w:val="00206FF7"/>
    <w:rsid w:val="0030390F"/>
    <w:rsid w:val="005B4772"/>
    <w:rsid w:val="00735472"/>
    <w:rsid w:val="00CA4167"/>
    <w:rsid w:val="00D639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92E584"/>
  <w15:chartTrackingRefBased/>
  <w15:docId w15:val="{925F853C-1402-8944-9911-CA1965F3A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35472"/>
    <w:pPr>
      <w:spacing w:after="0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206FF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06FF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06FF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6FF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6FF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6FF7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6FF7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6FF7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6FF7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6FF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206FF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206FF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6FF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6FF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6FF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6FF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6FF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6FF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6FF7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6F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6FF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6FF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6FF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6FF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6FF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6FF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6FF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6FF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6FF7"/>
    <w:rPr>
      <w:b/>
      <w:bCs/>
      <w:smallCaps/>
      <w:color w:val="0F4761" w:themeColor="accent1" w:themeShade="BF"/>
      <w:spacing w:val="5"/>
    </w:rPr>
  </w:style>
  <w:style w:type="character" w:styleId="Strong">
    <w:name w:val="Strong"/>
    <w:basedOn w:val="DefaultParagraphFont"/>
    <w:uiPriority w:val="22"/>
    <w:qFormat/>
    <w:rsid w:val="00206FF7"/>
    <w:rPr>
      <w:b/>
      <w:bCs/>
    </w:rPr>
  </w:style>
  <w:style w:type="character" w:styleId="Emphasis">
    <w:name w:val="Emphasis"/>
    <w:basedOn w:val="DefaultParagraphFont"/>
    <w:uiPriority w:val="20"/>
    <w:qFormat/>
    <w:rsid w:val="00206FF7"/>
    <w:rPr>
      <w:i/>
      <w:iCs/>
    </w:rPr>
  </w:style>
  <w:style w:type="paragraph" w:customStyle="1" w:styleId="p1">
    <w:name w:val="p1"/>
    <w:basedOn w:val="Normal"/>
    <w:rsid w:val="00206FF7"/>
    <w:rPr>
      <w:rFonts w:ascii="Arial Narrow" w:hAnsi="Arial Narrow"/>
      <w:color w:val="000000"/>
      <w:sz w:val="15"/>
      <w:szCs w:val="15"/>
    </w:rPr>
  </w:style>
  <w:style w:type="character" w:customStyle="1" w:styleId="s1">
    <w:name w:val="s1"/>
    <w:basedOn w:val="DefaultParagraphFont"/>
    <w:rsid w:val="00206FF7"/>
    <w:rPr>
      <w:rFonts w:ascii="Arial Narrow" w:hAnsi="Arial Narrow" w:hint="default"/>
      <w:sz w:val="10"/>
      <w:szCs w:val="10"/>
    </w:rPr>
  </w:style>
  <w:style w:type="paragraph" w:styleId="TOCHeading">
    <w:name w:val="TOC Heading"/>
    <w:basedOn w:val="Heading1"/>
    <w:next w:val="Normal"/>
    <w:uiPriority w:val="39"/>
    <w:unhideWhenUsed/>
    <w:qFormat/>
    <w:rsid w:val="00735472"/>
    <w:pPr>
      <w:spacing w:before="480" w:after="0" w:line="276" w:lineRule="auto"/>
      <w:outlineLvl w:val="9"/>
    </w:pPr>
    <w:rPr>
      <w:b/>
      <w:bCs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735472"/>
    <w:pPr>
      <w:spacing w:before="120"/>
    </w:pPr>
    <w:rPr>
      <w:rFonts w:asciiTheme="minorHAnsi" w:hAnsiTheme="minorHAnsi"/>
      <w:b/>
      <w:bCs/>
      <w:i/>
      <w:iCs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735472"/>
    <w:pPr>
      <w:spacing w:before="120"/>
      <w:ind w:left="240"/>
    </w:pPr>
    <w:rPr>
      <w:rFonts w:asciiTheme="minorHAnsi" w:hAnsiTheme="minorHAnsi"/>
      <w:b/>
      <w:bCs/>
      <w:sz w:val="22"/>
      <w:szCs w:val="22"/>
    </w:rPr>
  </w:style>
  <w:style w:type="paragraph" w:styleId="TOC3">
    <w:name w:val="toc 3"/>
    <w:basedOn w:val="Normal"/>
    <w:next w:val="Normal"/>
    <w:autoRedefine/>
    <w:uiPriority w:val="39"/>
    <w:semiHidden/>
    <w:unhideWhenUsed/>
    <w:rsid w:val="00735472"/>
    <w:pPr>
      <w:ind w:left="480"/>
    </w:pPr>
    <w:rPr>
      <w:rFonts w:asciiTheme="minorHAnsi" w:hAnsiTheme="minorHAnsi"/>
      <w:sz w:val="20"/>
      <w:szCs w:val="20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735472"/>
    <w:pPr>
      <w:ind w:left="720"/>
    </w:pPr>
    <w:rPr>
      <w:rFonts w:asciiTheme="minorHAnsi" w:hAnsiTheme="minorHAnsi"/>
      <w:sz w:val="20"/>
      <w:szCs w:val="20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735472"/>
    <w:pPr>
      <w:ind w:left="960"/>
    </w:pPr>
    <w:rPr>
      <w:rFonts w:asciiTheme="minorHAnsi" w:hAnsiTheme="minorHAnsi"/>
      <w:sz w:val="20"/>
      <w:szCs w:val="20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735472"/>
    <w:pPr>
      <w:ind w:left="1200"/>
    </w:pPr>
    <w:rPr>
      <w:rFonts w:asciiTheme="minorHAnsi" w:hAnsiTheme="minorHAnsi"/>
      <w:sz w:val="20"/>
      <w:szCs w:val="20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735472"/>
    <w:pPr>
      <w:ind w:left="1440"/>
    </w:pPr>
    <w:rPr>
      <w:rFonts w:asciiTheme="minorHAnsi" w:hAnsiTheme="minorHAnsi"/>
      <w:sz w:val="20"/>
      <w:szCs w:val="20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735472"/>
    <w:pPr>
      <w:ind w:left="1680"/>
    </w:pPr>
    <w:rPr>
      <w:rFonts w:asciiTheme="minorHAnsi" w:hAnsiTheme="minorHAnsi"/>
      <w:sz w:val="20"/>
      <w:szCs w:val="20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735472"/>
    <w:pPr>
      <w:ind w:left="1920"/>
    </w:pPr>
    <w:rPr>
      <w:rFonts w:asciiTheme="minorHAnsi" w:hAnsiTheme="minorHAnsi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35472"/>
    <w:rPr>
      <w:color w:val="467886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35472"/>
    <w:pPr>
      <w:spacing w:before="100" w:beforeAutospacing="1" w:after="100" w:afterAutospacing="1"/>
    </w:pPr>
  </w:style>
  <w:style w:type="character" w:styleId="SubtleEmphasis">
    <w:name w:val="Subtle Emphasis"/>
    <w:basedOn w:val="DefaultParagraphFont"/>
    <w:uiPriority w:val="19"/>
    <w:qFormat/>
    <w:rsid w:val="00735472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13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5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34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4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55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89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001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5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1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6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07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34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52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39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2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14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7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58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2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44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4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9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A1350D9-B93B-8042-B642-5D33110CF4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</TotalTime>
  <Pages>7</Pages>
  <Words>1254</Words>
  <Characters>7149</Characters>
  <Application>Microsoft Office Word</Application>
  <DocSecurity>0</DocSecurity>
  <Lines>59</Lines>
  <Paragraphs>16</Paragraphs>
  <ScaleCrop>false</ScaleCrop>
  <Company/>
  <LinksUpToDate>false</LinksUpToDate>
  <CharactersWithSpaces>8387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Krauspe</dc:creator>
  <cp:keywords/>
  <dc:description/>
  <cp:lastModifiedBy>Ethan Krauspe</cp:lastModifiedBy>
  <cp:revision>4</cp:revision>
  <dcterms:created xsi:type="dcterms:W3CDTF">2025-04-29T15:38:00Z</dcterms:created>
  <dcterms:modified xsi:type="dcterms:W3CDTF">2025-04-29T22:58:00Z</dcterms:modified>
</cp:coreProperties>
</file>